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DC45E4" w:rsidRPr="003107E9" w:rsidRDefault="00DC45E4">
      <w:pPr>
        <w:rPr>
          <w:rFonts w:asciiTheme="minorEastAsia" w:hAnsiTheme="minorEastAsia"/>
        </w:rPr>
      </w:pPr>
      <w:r w:rsidRPr="003107E9">
        <w:rPr>
          <w:rFonts w:asciiTheme="minorEastAsia" w:hAnsiTheme="minorEastAsia" w:hint="eastAsia"/>
        </w:rPr>
        <w:t>今から、ある一つの四角形(場合によっては三角形)Pについて光の効果の</w:t>
      </w:r>
      <w:r w:rsidR="00181E7C" w:rsidRPr="003107E9">
        <w:rPr>
          <w:rFonts w:asciiTheme="minorEastAsia" w:hAnsiTheme="minorEastAsia" w:hint="eastAsia"/>
        </w:rPr>
        <w:t>計算を</w:t>
      </w:r>
      <w:r w:rsidRPr="003107E9">
        <w:rPr>
          <w:rFonts w:asciiTheme="minorEastAsia" w:hAnsiTheme="minorEastAsia" w:hint="eastAsia"/>
        </w:rPr>
        <w:t>考える。</w:t>
      </w:r>
    </w:p>
    <w:p w:rsidR="00DC45E4" w:rsidRDefault="00DC45E4">
      <w:pPr>
        <w:rPr>
          <w:rFonts w:asciiTheme="minorEastAsia" w:hAnsiTheme="minorEastAsia"/>
        </w:rPr>
      </w:pPr>
    </w:p>
    <w:p w:rsidR="00AB4668" w:rsidRDefault="00AB466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カメラ眼点をE、Pの重心をGとする。</w:t>
      </w:r>
    </w:p>
    <w:p w:rsidR="00187D84" w:rsidRPr="00187D84" w:rsidRDefault="00187D8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EからG向かう</w:t>
      </w:r>
      <w:r w:rsidR="005E654A">
        <w:rPr>
          <w:rFonts w:asciiTheme="minorEastAsia" w:hAnsiTheme="minorEastAsia" w:hint="eastAsia"/>
        </w:rPr>
        <w:t>大きさ1の</w:t>
      </w:r>
      <w:r>
        <w:rPr>
          <w:rFonts w:asciiTheme="minorEastAsia" w:hAnsiTheme="minorEastAsia" w:hint="eastAsia"/>
        </w:rPr>
        <w:t>ベクトル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EG</m:t>
            </m:r>
          </m:e>
        </m:acc>
      </m:oMath>
      <w:r>
        <w:rPr>
          <w:rFonts w:asciiTheme="minorEastAsia" w:hAnsiTheme="minorEastAsia" w:hint="eastAsia"/>
        </w:rPr>
        <w:t>をとる。</w:t>
      </w:r>
    </w:p>
    <w:p w:rsidR="005707A9" w:rsidRDefault="00DC45E4" w:rsidP="00B412FD">
      <w:pPr>
        <w:rPr>
          <w:rFonts w:asciiTheme="minorEastAsia" w:hAnsiTheme="minorEastAsia" w:hint="eastAsia"/>
        </w:rPr>
      </w:pPr>
      <w:r w:rsidRPr="003107E9">
        <w:rPr>
          <w:rFonts w:asciiTheme="minorEastAsia" w:hAnsiTheme="minorEastAsia" w:hint="eastAsia"/>
        </w:rPr>
        <w:t>P</w:t>
      </w:r>
      <w:r w:rsidR="007F3D18" w:rsidRPr="003107E9">
        <w:rPr>
          <w:rFonts w:asciiTheme="minorEastAsia" w:hAnsiTheme="minorEastAsia" w:hint="eastAsia"/>
        </w:rPr>
        <w:t>の</w:t>
      </w:r>
      <w:r w:rsidR="00814055">
        <w:rPr>
          <w:rFonts w:asciiTheme="minorEastAsia" w:hAnsiTheme="minorEastAsia" w:hint="eastAsia"/>
        </w:rPr>
        <w:t>単位</w:t>
      </w:r>
      <w:r w:rsidR="007F3D18" w:rsidRPr="003107E9">
        <w:rPr>
          <w:rFonts w:asciiTheme="minorEastAsia" w:hAnsiTheme="minorEastAsia" w:hint="eastAsia"/>
        </w:rPr>
        <w:t>法線ベクトルのうち、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EG</m:t>
            </m:r>
          </m:e>
        </m:acc>
      </m:oMath>
      <w:r w:rsidR="007F3D18" w:rsidRPr="003107E9">
        <w:rPr>
          <w:rFonts w:asciiTheme="minorEastAsia" w:hAnsiTheme="minorEastAsia" w:hint="eastAsia"/>
        </w:rPr>
        <w:t>となす角が90°以上のものを</w:t>
      </w:r>
      <w:r w:rsidR="00C24266" w:rsidRPr="003107E9">
        <w:rPr>
          <w:rFonts w:asciiTheme="minorEastAsia" w:hAnsiTheme="minorEastAsia" w:hint="eastAsia"/>
        </w:rPr>
        <w:t>とり、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NV</m:t>
                </m:r>
              </m:e>
            </m:acc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F206FC" w:rsidRPr="003107E9">
        <w:rPr>
          <w:rFonts w:asciiTheme="minorEastAsia" w:hAnsiTheme="minorEastAsia" w:hint="eastAsia"/>
        </w:rPr>
        <w:t>とする。</w:t>
      </w:r>
    </w:p>
    <w:p w:rsidR="00B412FD" w:rsidRDefault="00322435" w:rsidP="00B412F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第i番光線(0≦</w:t>
      </w:r>
      <w:r w:rsidRPr="001D489E">
        <w:rPr>
          <w:rFonts w:asciiTheme="minorEastAsia" w:hAnsiTheme="minorEastAsia" w:hint="eastAsia"/>
          <w:i/>
        </w:rPr>
        <w:t>i</w:t>
      </w:r>
      <w:r>
        <w:rPr>
          <w:rFonts w:asciiTheme="minorEastAsia" w:hAnsiTheme="minorEastAsia" w:hint="eastAsia"/>
        </w:rPr>
        <w:t>≦9)の</w:t>
      </w:r>
      <w:r w:rsidR="00903CBF">
        <w:rPr>
          <w:rFonts w:asciiTheme="minorEastAsia" w:hAnsiTheme="minorEastAsia" w:hint="eastAsia"/>
        </w:rPr>
        <w:t>強さを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903CBF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光線ベクトルを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</m:oMath>
      <w:r>
        <w:rPr>
          <w:rFonts w:asciiTheme="minorEastAsia" w:hAnsiTheme="minorEastAsia" w:hint="eastAsia"/>
        </w:rPr>
        <w:t>とする。</w:t>
      </w:r>
    </w:p>
    <w:p w:rsidR="001D489E" w:rsidRDefault="001D489E" w:rsidP="00B412FD">
      <w:pPr>
        <w:rPr>
          <w:rFonts w:asciiTheme="minorEastAsia" w:hAnsiTheme="minorEastAsia" w:hint="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NV</m:t>
                </m:r>
              </m:e>
            </m:acc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rPr>
          <w:rFonts w:asciiTheme="minorEastAsia" w:hAnsiTheme="minorEastAsia" w:hint="eastAsia"/>
        </w:rPr>
        <w:t>と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LV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acc>
      </m:oMath>
      <w:r>
        <w:rPr>
          <w:rFonts w:asciiTheme="minorEastAsia" w:hAnsiTheme="minorEastAsia" w:hint="eastAsia"/>
        </w:rPr>
        <w:t>の成す角を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asciiTheme="minorEastAsia" w:hAnsiTheme="minorEastAsia" w:hint="eastAsia"/>
        </w:rPr>
        <w:t>とする。</w:t>
      </w:r>
    </w:p>
    <w:p w:rsidR="0082162C" w:rsidRPr="001D489E" w:rsidRDefault="0082162C" w:rsidP="00B412F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Pの不透明度をαとする。</w:t>
      </w:r>
    </w:p>
    <w:p w:rsidR="00322435" w:rsidRDefault="00322435" w:rsidP="00B412FD">
      <w:pPr>
        <w:rPr>
          <w:rFonts w:asciiTheme="minorEastAsia" w:hAnsiTheme="minorEastAsia" w:hint="eastAsia"/>
        </w:rPr>
      </w:pPr>
    </w:p>
    <w:p w:rsidR="008E09E4" w:rsidRDefault="008E09E4" w:rsidP="00B412FD">
      <w:pPr>
        <w:rPr>
          <w:rFonts w:asciiTheme="minorEastAsia" w:hAnsiTheme="minorEastAsia" w:hint="eastAsia"/>
          <w:b/>
          <w:color w:val="FFFF00"/>
        </w:rPr>
      </w:pPr>
      <w:r w:rsidRPr="00AA7D49">
        <w:rPr>
          <w:rFonts w:asciiTheme="minorEastAsia" w:hAnsiTheme="minorEastAsia" w:hint="eastAsia"/>
          <w:b/>
          <w:color w:val="FFFF00"/>
        </w:rPr>
        <w:t>&lt; 単色の場合 &gt;</w:t>
      </w:r>
    </w:p>
    <w:p w:rsidR="00032B6A" w:rsidRDefault="00032B6A" w:rsidP="00322435">
      <w:pPr>
        <w:ind w:leftChars="100" w:left="210"/>
        <w:rPr>
          <w:rFonts w:asciiTheme="minorEastAsia" w:hAnsiTheme="minorEastAsia" w:hint="eastAsia"/>
        </w:rPr>
      </w:pPr>
      <w:r w:rsidRPr="00032B6A">
        <w:rPr>
          <w:rFonts w:asciiTheme="minorEastAsia" w:hAnsiTheme="minorEastAsia" w:hint="eastAsia"/>
        </w:rPr>
        <w:t>まず見かけの色を決める。</w:t>
      </w:r>
    </w:p>
    <w:p w:rsidR="00322435" w:rsidRDefault="00032B6A" w:rsidP="00322435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見かけの色</w:t>
      </w:r>
      <w:r w:rsidR="00047528">
        <w:rPr>
          <w:rFonts w:asciiTheme="minorEastAsia" w:hAnsiTheme="minorEastAsia" w:hint="eastAsia"/>
        </w:rPr>
        <w:t>のr,g,b値</w:t>
      </w:r>
      <w:r>
        <w:rPr>
          <w:rFonts w:asciiTheme="minorEastAsia" w:hAnsiTheme="minorEastAsia" w:hint="eastAsia"/>
        </w:rPr>
        <w:t>は</w:t>
      </w:r>
    </w:p>
    <w:p w:rsidR="00047528" w:rsidRDefault="00047528" w:rsidP="00322435">
      <w:pPr>
        <w:ind w:leftChars="100" w:left="210"/>
        <w:rPr>
          <w:rFonts w:asciiTheme="minorEastAsia" w:hAnsiTheme="minorEastAsia" w:hint="eastAsia"/>
        </w:rPr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r,g,b</m:t>
              </m:r>
            </m:e>
          </m:d>
          <m:r>
            <w:rPr>
              <w:rFonts w:ascii="Cambria Math" w:hAnsi="Cambria Math"/>
            </w:rPr>
            <m:t>=limit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元の</m:t>
                  </m:r>
                  <m:r>
                    <w:rPr>
                      <w:rFonts w:ascii="Cambria Math" w:hAnsi="Cambria Math"/>
                    </w:rPr>
                    <m:t>r,g,b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値</m:t>
                  </m:r>
                </m:e>
              </m:d>
              <m:r>
                <w:rPr>
                  <w:rFonts w:ascii="Cambria Math" w:hAnsi="Cambria Math"/>
                </w:rPr>
                <m:t>,0,255</m:t>
              </m:r>
            </m:e>
          </m:d>
        </m:oMath>
      </m:oMathPara>
    </w:p>
    <w:p w:rsidR="001545FA" w:rsidRDefault="00C21915" w:rsidP="00C21915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で定まるものとし、</w:t>
      </w:r>
      <w:r w:rsidR="001545FA" w:rsidRPr="0097519A">
        <w:rPr>
          <w:rFonts w:asciiTheme="minorEastAsia" w:hAnsiTheme="minorEastAsia" w:hint="eastAsia"/>
          <w:i/>
        </w:rPr>
        <w:t>I</w:t>
      </w:r>
      <w:r>
        <w:rPr>
          <w:rFonts w:asciiTheme="minorEastAsia" w:hAnsiTheme="minorEastAsia" w:hint="eastAsia"/>
        </w:rPr>
        <w:t>は</w:t>
      </w:r>
    </w:p>
    <w:p w:rsidR="001545FA" w:rsidRPr="00BF79E6" w:rsidRDefault="0097519A" w:rsidP="001545FA">
      <w:pPr>
        <w:ind w:leftChars="100" w:left="210"/>
        <w:rPr>
          <w:rFonts w:asciiTheme="minorEastAsia" w:hAnsiTheme="minorEastAsia" w:hint="eastAsia"/>
        </w:rPr>
      </w:pPr>
      <m:oMathPara>
        <m:oMath>
          <m: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</m:oMath>
      </m:oMathPara>
    </w:p>
    <w:p w:rsidR="00BF79E6" w:rsidRDefault="00BF79E6" w:rsidP="00BF79E6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で定まるものとする。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>
        <w:rPr>
          <w:rFonts w:asciiTheme="minorEastAsia" w:hAnsiTheme="minorEastAsia" w:hint="eastAsia"/>
        </w:rPr>
        <w:t>を求める。</w:t>
      </w:r>
    </w:p>
    <w:p w:rsidR="00BF79E6" w:rsidRPr="004E290F" w:rsidRDefault="0078636C" w:rsidP="00BF79E6">
      <w:pPr>
        <w:ind w:leftChars="100" w:left="210"/>
        <w:rPr>
          <w:rFonts w:asciiTheme="minorEastAsia" w:hAnsiTheme="minorEastAsia"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&gt;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func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</m:oMath>
      </m:oMathPara>
    </w:p>
    <w:p w:rsidR="004E290F" w:rsidRPr="00A729A3" w:rsidRDefault="004E290F" w:rsidP="00BF79E6">
      <w:pPr>
        <w:ind w:leftChars="100" w:left="210"/>
        <w:rPr>
          <w:rFonts w:asciiTheme="minorEastAsia" w:hAnsiTheme="minorEastAsia" w:hint="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α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255</m:t>
                      </m:r>
                    </m:den>
                  </m:f>
                </m:e>
              </m:d>
            </m:e>
          </m:nary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func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</m:oMath>
      </m:oMathPara>
    </w:p>
    <w:p w:rsidR="00A729A3" w:rsidRDefault="00A729A3" w:rsidP="00BF79E6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個々で求めた色で、指定されている不透明度でgmode3によるgsquare</w:t>
      </w:r>
      <w:r w:rsidR="002C1F0B">
        <w:rPr>
          <w:rFonts w:asciiTheme="minorEastAsia" w:hAnsiTheme="minorEastAsia" w:hint="eastAsia"/>
        </w:rPr>
        <w:t>描画を行う。</w:t>
      </w:r>
    </w:p>
    <w:p w:rsidR="007C6EEB" w:rsidRPr="00A729A3" w:rsidRDefault="007C6EEB" w:rsidP="00BF79E6">
      <w:pPr>
        <w:ind w:leftChars="100" w:left="210"/>
        <w:rPr>
          <w:rFonts w:asciiTheme="minorEastAsia" w:hAnsiTheme="minorEastAsia" w:hint="eastAsia"/>
        </w:rPr>
      </w:pPr>
    </w:p>
    <w:p w:rsidR="008E09E4" w:rsidRDefault="008E09E4" w:rsidP="00B412FD">
      <w:pPr>
        <w:rPr>
          <w:rFonts w:asciiTheme="minorEastAsia" w:hAnsiTheme="minorEastAsia" w:hint="eastAsia"/>
          <w:b/>
          <w:color w:val="FFFF00"/>
        </w:rPr>
      </w:pPr>
      <w:r w:rsidRPr="00AA7D49">
        <w:rPr>
          <w:rFonts w:asciiTheme="minorEastAsia" w:hAnsiTheme="minorEastAsia" w:hint="eastAsia"/>
          <w:b/>
          <w:color w:val="FFFF00"/>
        </w:rPr>
        <w:t>&lt; テクスチャ貼付の場合 &gt;</w:t>
      </w:r>
    </w:p>
    <w:p w:rsidR="002318E5" w:rsidRDefault="002318E5" w:rsidP="007C6EEB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単色</w:t>
      </w:r>
      <w:r w:rsidR="00BD2E93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場合と全く同様にして</w:t>
      </w:r>
      <w:r w:rsidRPr="002318E5">
        <w:rPr>
          <w:rFonts w:asciiTheme="minorEastAsia" w:hAnsiTheme="minorEastAsia" w:hint="eastAsia"/>
          <w:i/>
        </w:rPr>
        <w:t>I</w:t>
      </w:r>
      <w:r>
        <w:rPr>
          <w:rFonts w:asciiTheme="minorEastAsia" w:hAnsiTheme="minorEastAsia" w:hint="eastAsia"/>
        </w:rPr>
        <w:t>を得る。</w:t>
      </w:r>
    </w:p>
    <w:p w:rsidR="007C6EEB" w:rsidRDefault="002318E5" w:rsidP="007C6EEB">
      <w:pPr>
        <w:ind w:leftChars="100" w:left="210"/>
        <w:rPr>
          <w:rFonts w:asciiTheme="minorEastAsia" w:hAnsiTheme="minorEastAsia" w:hint="eastAsia"/>
        </w:rPr>
      </w:pPr>
      <w:r w:rsidRPr="002318E5">
        <w:rPr>
          <w:rFonts w:asciiTheme="minorEastAsia" w:hAnsiTheme="minorEastAsia" w:hint="eastAsia"/>
        </w:rPr>
        <w:t>まず指定されている不透明度で四角形領域を黒く塗り、</w:t>
      </w:r>
      <w:r>
        <w:rPr>
          <w:rFonts w:asciiTheme="minorEastAsia" w:hAnsiTheme="minorEastAsia" w:hint="eastAsia"/>
        </w:rPr>
        <w:t>その上に</w:t>
      </w:r>
    </w:p>
    <w:p w:rsidR="00D55054" w:rsidRPr="00493EFA" w:rsidRDefault="00493EFA" w:rsidP="007C6EEB">
      <w:pPr>
        <w:ind w:leftChars="100" w:left="210"/>
        <w:rPr>
          <w:rFonts w:asciiTheme="minorEastAsia" w:hAnsiTheme="minorEastAsia" w:hint="eastAsia"/>
        </w:rPr>
      </w:pPr>
      <m:oMathPara>
        <m:oMath>
          <m:r>
            <w:rPr>
              <w:rFonts w:ascii="Cambria Math" w:hAnsi="Cambria Math"/>
            </w:rPr>
            <m:t>limit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指定されているブレンド率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,0,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指定されているブレンド率</m:t>
              </m:r>
            </m:e>
          </m:d>
        </m:oMath>
      </m:oMathPara>
    </w:p>
    <w:p w:rsidR="00493EFA" w:rsidRDefault="00493EFA" w:rsidP="007C6EEB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の不透明度でテクスチャをgsquareで半透明コピーする。</w:t>
      </w:r>
    </w:p>
    <w:p w:rsidR="006855A8" w:rsidRDefault="006855A8" w:rsidP="006855A8">
      <w:pPr>
        <w:rPr>
          <w:rFonts w:asciiTheme="minorEastAsia" w:hAnsiTheme="minorEastAsia" w:hint="eastAsia"/>
        </w:rPr>
      </w:pPr>
    </w:p>
    <w:p w:rsidR="006855A8" w:rsidRPr="00AF2D2C" w:rsidRDefault="006855A8" w:rsidP="006855A8">
      <w:pPr>
        <w:rPr>
          <w:rFonts w:asciiTheme="minorEastAsia" w:hAnsiTheme="minorEastAsia" w:hint="eastAsia"/>
          <w:b/>
          <w:color w:val="FFFF00"/>
        </w:rPr>
      </w:pPr>
      <w:r w:rsidRPr="00AF2D2C">
        <w:rPr>
          <w:rFonts w:asciiTheme="minorEastAsia" w:hAnsiTheme="minorEastAsia" w:hint="eastAsia"/>
          <w:b/>
          <w:color w:val="FFFF00"/>
        </w:rPr>
        <w:t>&lt; 単色・テクスチャ共通 &gt;</w:t>
      </w:r>
    </w:p>
    <w:p w:rsidR="008D1FC2" w:rsidRDefault="008D1FC2" w:rsidP="008D1FC2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光沢を表現する。</w:t>
      </w:r>
    </w:p>
    <w:p w:rsidR="008D1FC2" w:rsidRDefault="008D1FC2" w:rsidP="008D1FC2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反射光線ベクトルを求める。</w:t>
      </w:r>
    </w:p>
    <w:p w:rsidR="00AF2D2C" w:rsidRPr="00171405" w:rsidRDefault="00F926E0" w:rsidP="008D1FC2">
      <w:pPr>
        <w:ind w:leftChars="100" w:left="210"/>
        <w:rPr>
          <w:rFonts w:asciiTheme="minorEastAsia" w:hAnsiTheme="minorEastAsia" w:hint="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LV_ref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LV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  <m:r>
            <w:rPr>
              <w:rFonts w:ascii="Cambria Math" w:hAnsi="Cambria Math"/>
            </w:rPr>
            <m:t>-2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func>
            </m:e>
          </m:d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NV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</m:e>
          </m:acc>
        </m:oMath>
      </m:oMathPara>
    </w:p>
    <w:p w:rsidR="00171405" w:rsidRDefault="00171405" w:rsidP="008D1FC2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これが反射光線ベクトルである。</w:t>
      </w:r>
    </w:p>
    <w:p w:rsidR="008A74C4" w:rsidRDefault="008A74C4" w:rsidP="008D1FC2">
      <w:pPr>
        <w:ind w:leftChars="100" w:left="210"/>
        <w:rPr>
          <w:rFonts w:asciiTheme="minorEastAsia" w:hAnsiTheme="minorEastAsia" w:hint="eastAsia"/>
        </w:rPr>
      </w:pP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EG</m:t>
            </m:r>
          </m:e>
        </m:acc>
      </m:oMath>
      <w:r>
        <w:rPr>
          <w:rFonts w:asciiTheme="minorEastAsia" w:hAnsiTheme="minorEastAsia" w:hint="eastAsia"/>
        </w:rPr>
        <w:t>と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LV_ref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asciiTheme="minorEastAsia" w:hAnsiTheme="minorEastAsia" w:hint="eastAsia"/>
        </w:rPr>
        <w:t>の成す角を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asciiTheme="minorEastAsia" w:hAnsiTheme="minorEastAsia" w:hint="eastAsia"/>
        </w:rPr>
        <w:t>とする。</w:t>
      </w:r>
    </w:p>
    <w:p w:rsidR="00764FD5" w:rsidRDefault="00764FD5" w:rsidP="00764FD5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光沢による白いベールの不透明度が</w:t>
      </w:r>
    </w:p>
    <w:p w:rsidR="00764FD5" w:rsidRPr="00764FD5" w:rsidRDefault="00764FD5" w:rsidP="00764FD5">
      <w:pPr>
        <w:ind w:leftChars="100" w:left="210"/>
        <w:rPr>
          <w:rFonts w:asciiTheme="minorEastAsia" w:hAnsiTheme="minorEastAsia"/>
        </w:rPr>
      </w:pPr>
      <m:oMathPara>
        <m:oMath>
          <m:r>
            <w:rPr>
              <w:rFonts w:ascii="Cambria Math" w:hAnsi="Cambria Math"/>
            </w:rPr>
            <m:t>limit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光沢度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,0,256</m:t>
              </m:r>
            </m:e>
          </m:d>
        </m:oMath>
      </m:oMathPara>
    </w:p>
    <w:p w:rsidR="00764FD5" w:rsidRDefault="00764FD5" w:rsidP="00764FD5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lastRenderedPageBreak/>
        <w:t>で定まるものとする。</w:t>
      </w:r>
    </w:p>
    <w:p w:rsidR="00764FD5" w:rsidRDefault="00764FD5" w:rsidP="00764FD5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Jを決める。</w:t>
      </w:r>
    </w:p>
    <w:p w:rsidR="00764FD5" w:rsidRPr="00367A1E" w:rsidRDefault="00764FD5" w:rsidP="00764FD5">
      <w:pPr>
        <w:ind w:leftChars="100" w:left="210"/>
        <w:rPr>
          <w:rFonts w:asciiTheme="minorEastAsia" w:hAnsiTheme="minorEastAsia" w:hint="eastAsia"/>
        </w:rPr>
      </w:pPr>
      <m:oMathPara>
        <m:oMath>
          <m:r>
            <w:rPr>
              <w:rFonts w:ascii="Cambria Math" w:hAnsi="Cambria Math"/>
            </w:rPr>
            <m:t>J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&gt;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func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</m:oMath>
      </m:oMathPara>
    </w:p>
    <w:p w:rsidR="00367A1E" w:rsidRPr="00367A1E" w:rsidRDefault="00367A1E" w:rsidP="00764FD5">
      <w:pPr>
        <w:ind w:leftChars="100" w:left="21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これに従って白いベールを色加算合成する。</w:t>
      </w:r>
      <w:bookmarkStart w:id="0" w:name="_GoBack"/>
      <w:bookmarkEnd w:id="0"/>
    </w:p>
    <w:sectPr w:rsidR="00367A1E" w:rsidRPr="00367A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B2"/>
    <w:rsid w:val="00032B6A"/>
    <w:rsid w:val="00047528"/>
    <w:rsid w:val="00081E37"/>
    <w:rsid w:val="0008393C"/>
    <w:rsid w:val="000A75CE"/>
    <w:rsid w:val="000C4069"/>
    <w:rsid w:val="000F5484"/>
    <w:rsid w:val="00105F70"/>
    <w:rsid w:val="00122EA1"/>
    <w:rsid w:val="00133964"/>
    <w:rsid w:val="00150C99"/>
    <w:rsid w:val="00151DD8"/>
    <w:rsid w:val="001545FA"/>
    <w:rsid w:val="00171405"/>
    <w:rsid w:val="001758DA"/>
    <w:rsid w:val="00181E7C"/>
    <w:rsid w:val="00187D84"/>
    <w:rsid w:val="001A2346"/>
    <w:rsid w:val="001D489E"/>
    <w:rsid w:val="002257B4"/>
    <w:rsid w:val="002318E5"/>
    <w:rsid w:val="00236043"/>
    <w:rsid w:val="002429E1"/>
    <w:rsid w:val="0024739A"/>
    <w:rsid w:val="002A2A31"/>
    <w:rsid w:val="002C1F0B"/>
    <w:rsid w:val="002E30DA"/>
    <w:rsid w:val="003107E9"/>
    <w:rsid w:val="00322435"/>
    <w:rsid w:val="0034039A"/>
    <w:rsid w:val="00341111"/>
    <w:rsid w:val="003530D9"/>
    <w:rsid w:val="00355637"/>
    <w:rsid w:val="00367A1E"/>
    <w:rsid w:val="003A507E"/>
    <w:rsid w:val="003C6A54"/>
    <w:rsid w:val="003D0C8F"/>
    <w:rsid w:val="004176B2"/>
    <w:rsid w:val="0045567F"/>
    <w:rsid w:val="0046058E"/>
    <w:rsid w:val="00464F52"/>
    <w:rsid w:val="00493EFA"/>
    <w:rsid w:val="004A1955"/>
    <w:rsid w:val="004D6A58"/>
    <w:rsid w:val="004E290F"/>
    <w:rsid w:val="004E71C5"/>
    <w:rsid w:val="00562785"/>
    <w:rsid w:val="005643E2"/>
    <w:rsid w:val="005707A9"/>
    <w:rsid w:val="005915B6"/>
    <w:rsid w:val="005E4FA4"/>
    <w:rsid w:val="005E654A"/>
    <w:rsid w:val="006045C8"/>
    <w:rsid w:val="00635887"/>
    <w:rsid w:val="00663C4E"/>
    <w:rsid w:val="006855A8"/>
    <w:rsid w:val="006A7F01"/>
    <w:rsid w:val="006B5462"/>
    <w:rsid w:val="006C755C"/>
    <w:rsid w:val="006F5C9B"/>
    <w:rsid w:val="00756AE6"/>
    <w:rsid w:val="00764FD5"/>
    <w:rsid w:val="0078636C"/>
    <w:rsid w:val="0078725E"/>
    <w:rsid w:val="00794B91"/>
    <w:rsid w:val="007C6EEB"/>
    <w:rsid w:val="007D4C1D"/>
    <w:rsid w:val="007E4358"/>
    <w:rsid w:val="007F38FD"/>
    <w:rsid w:val="007F3D18"/>
    <w:rsid w:val="00803518"/>
    <w:rsid w:val="00807573"/>
    <w:rsid w:val="00814055"/>
    <w:rsid w:val="0081630F"/>
    <w:rsid w:val="0082162C"/>
    <w:rsid w:val="0082216A"/>
    <w:rsid w:val="00826D28"/>
    <w:rsid w:val="00843DAC"/>
    <w:rsid w:val="0087608E"/>
    <w:rsid w:val="00877426"/>
    <w:rsid w:val="00887196"/>
    <w:rsid w:val="008A74C4"/>
    <w:rsid w:val="008C31C5"/>
    <w:rsid w:val="008D1FC2"/>
    <w:rsid w:val="008D6FFB"/>
    <w:rsid w:val="008E09E4"/>
    <w:rsid w:val="00903CBF"/>
    <w:rsid w:val="00926F7D"/>
    <w:rsid w:val="0096001B"/>
    <w:rsid w:val="0097395C"/>
    <w:rsid w:val="00973F7C"/>
    <w:rsid w:val="0097519A"/>
    <w:rsid w:val="009C273C"/>
    <w:rsid w:val="00A23179"/>
    <w:rsid w:val="00A63186"/>
    <w:rsid w:val="00A729A3"/>
    <w:rsid w:val="00A73AEC"/>
    <w:rsid w:val="00AA34A2"/>
    <w:rsid w:val="00AA7D49"/>
    <w:rsid w:val="00AB0A23"/>
    <w:rsid w:val="00AB3393"/>
    <w:rsid w:val="00AB4668"/>
    <w:rsid w:val="00AF0C12"/>
    <w:rsid w:val="00AF2D2C"/>
    <w:rsid w:val="00B2229D"/>
    <w:rsid w:val="00B412FD"/>
    <w:rsid w:val="00B81D84"/>
    <w:rsid w:val="00B90AF4"/>
    <w:rsid w:val="00BA09F0"/>
    <w:rsid w:val="00BD2E93"/>
    <w:rsid w:val="00BF79E6"/>
    <w:rsid w:val="00C21915"/>
    <w:rsid w:val="00C24266"/>
    <w:rsid w:val="00C478E8"/>
    <w:rsid w:val="00C8542F"/>
    <w:rsid w:val="00CC7F15"/>
    <w:rsid w:val="00D007CD"/>
    <w:rsid w:val="00D30B74"/>
    <w:rsid w:val="00D533ED"/>
    <w:rsid w:val="00D55054"/>
    <w:rsid w:val="00D601A7"/>
    <w:rsid w:val="00D628F4"/>
    <w:rsid w:val="00DC45E4"/>
    <w:rsid w:val="00DE3CEA"/>
    <w:rsid w:val="00E36B26"/>
    <w:rsid w:val="00E64526"/>
    <w:rsid w:val="00E72115"/>
    <w:rsid w:val="00E9323D"/>
    <w:rsid w:val="00EC71B1"/>
    <w:rsid w:val="00F02FB3"/>
    <w:rsid w:val="00F206FC"/>
    <w:rsid w:val="00F3575A"/>
    <w:rsid w:val="00F47ED3"/>
    <w:rsid w:val="00F55405"/>
    <w:rsid w:val="00F76D9A"/>
    <w:rsid w:val="00F924AC"/>
    <w:rsid w:val="00F926E0"/>
    <w:rsid w:val="00FA2826"/>
    <w:rsid w:val="00FC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206F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20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206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206F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20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206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光の効果の計算</vt:lpstr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光の効果の計算</dc:title>
  <dc:creator>DarkWin</dc:creator>
  <cp:lastModifiedBy>DarkWin</cp:lastModifiedBy>
  <cp:revision>140</cp:revision>
  <cp:lastPrinted>2014-08-17T15:04:00Z</cp:lastPrinted>
  <dcterms:created xsi:type="dcterms:W3CDTF">2014-08-17T14:04:00Z</dcterms:created>
  <dcterms:modified xsi:type="dcterms:W3CDTF">2014-09-04T02:48:00Z</dcterms:modified>
</cp:coreProperties>
</file>